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73" w:rsidRPr="000C62DB" w:rsidRDefault="000C62DB" w:rsidP="000C62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C62D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60E62">
        <w:rPr>
          <w:rFonts w:ascii="Times New Roman" w:hAnsi="Times New Roman" w:cs="Times New Roman"/>
          <w:sz w:val="28"/>
          <w:szCs w:val="28"/>
        </w:rPr>
        <w:t>3</w:t>
      </w:r>
      <w:r w:rsidRPr="000C62DB">
        <w:rPr>
          <w:rFonts w:ascii="Times New Roman" w:hAnsi="Times New Roman" w:cs="Times New Roman"/>
          <w:sz w:val="28"/>
          <w:szCs w:val="28"/>
        </w:rPr>
        <w:t>.</w:t>
      </w:r>
    </w:p>
    <w:p w:rsidR="002013A2" w:rsidRPr="00560E62" w:rsidRDefault="00560E62" w:rsidP="00560E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E62">
        <w:rPr>
          <w:rFonts w:ascii="Times New Roman" w:hAnsi="Times New Roman" w:cs="Times New Roman"/>
          <w:sz w:val="28"/>
          <w:szCs w:val="28"/>
        </w:rPr>
        <w:t>Схема водоснабжения с учетом размеров участков водопровода, диаметров труб.</w:t>
      </w:r>
    </w:p>
    <w:p w:rsidR="00560E62" w:rsidRPr="000C62DB" w:rsidRDefault="00463446" w:rsidP="000C62D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777730" cy="3999498"/>
            <wp:effectExtent l="0" t="0" r="0" b="1270"/>
            <wp:docPr id="1" name="Рисунок 1" descr="C:\Карманов\схемы тс и вс\контракты нгту\Баратаевка\Баратаевка вода длин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Карманов\схемы тс и вс\контракты нгту\Баратаевка\Баратаевка вода длины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3999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60E62" w:rsidRPr="000C62DB" w:rsidSect="000B037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2DB"/>
    <w:rsid w:val="000B0370"/>
    <w:rsid w:val="000C62DB"/>
    <w:rsid w:val="002013A2"/>
    <w:rsid w:val="00463446"/>
    <w:rsid w:val="00560E62"/>
    <w:rsid w:val="00627E23"/>
    <w:rsid w:val="009C16C4"/>
    <w:rsid w:val="00CF4678"/>
    <w:rsid w:val="00D3711B"/>
    <w:rsid w:val="00FC6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2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62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62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2014-02-16T22:51:00Z</dcterms:created>
  <dcterms:modified xsi:type="dcterms:W3CDTF">2014-02-17T00:04:00Z</dcterms:modified>
</cp:coreProperties>
</file>